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交通安全设施工程劳务供应商备选库</w:t>
      </w:r>
      <w:r>
        <w:rPr>
          <w:rFonts w:hint="eastAsia" w:hAnsi="宋体"/>
          <w:b w:val="0"/>
          <w:bCs/>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2024年5月25日10点30分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宁夏交通科学研究所有限公司2024年日常养护交通安全设施养护劳务服务采购项目（第二批）</w:t>
      </w:r>
      <w:r>
        <w:rPr>
          <w:rFonts w:hint="eastAsia" w:hAnsi="宋体"/>
          <w:b w:val="0"/>
          <w:bCs/>
          <w:sz w:val="32"/>
          <w:szCs w:val="32"/>
          <w:lang w:val="en-US" w:eastAsia="zh-CN"/>
        </w:rPr>
        <w:t>竞价活动。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宁夏交通科学研究所有限公司2024年日常养护交通安全设施养护劳务服务采购项目（第二批）</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（三）本次总限价为：105600.04 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2024年5月24</w:t>
      </w:r>
      <w:bookmarkStart w:id="0" w:name="_GoBack"/>
      <w:bookmarkEnd w:id="0"/>
      <w:r>
        <w:rPr>
          <w:rFonts w:hint="eastAsia" w:hAnsi="宋体"/>
          <w:b w:val="0"/>
          <w:bCs/>
          <w:color w:val="auto"/>
          <w:sz w:val="32"/>
          <w:szCs w:val="32"/>
          <w:lang w:val="en-US" w:eastAsia="zh-CN"/>
        </w:rPr>
        <w:t>日</w:t>
      </w: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宁夏交通科学研究所有限公司2024年日常养护交通安全设施养护劳务服务采购项目（第</w:t>
      </w:r>
      <w:r>
        <w:rPr>
          <w:rFonts w:hint="eastAsia" w:ascii="Times New Roman" w:hAnsi="宋体" w:cs="宋体"/>
          <w:w w:val="90"/>
          <w:sz w:val="28"/>
          <w:szCs w:val="28"/>
          <w:u w:val="single"/>
          <w:lang w:val="en-US" w:eastAsia="zh-CN"/>
        </w:rPr>
        <w:t>二</w:t>
      </w:r>
      <w:r>
        <w:rPr>
          <w:rFonts w:hint="eastAsia" w:ascii="Times New Roman" w:hAnsi="宋体" w:cs="宋体"/>
          <w:w w:val="90"/>
          <w:sz w:val="28"/>
          <w:szCs w:val="28"/>
          <w:u w:val="single"/>
          <w:lang w:val="zh-CN" w:eastAsia="zh-CN"/>
        </w:rPr>
        <w:t>批）</w:t>
      </w:r>
    </w:p>
    <w:p>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pPr>
              <w:jc w:val="center"/>
              <w:rPr>
                <w:rFonts w:cs="Times New Roman"/>
                <w:sz w:val="28"/>
                <w:szCs w:val="28"/>
              </w:rPr>
            </w:pPr>
            <w:r>
              <w:rPr>
                <w:rFonts w:hint="eastAsia" w:cs="Times New Roman"/>
                <w:sz w:val="28"/>
                <w:szCs w:val="28"/>
              </w:rPr>
              <w:t>序号</w:t>
            </w:r>
          </w:p>
        </w:tc>
        <w:tc>
          <w:tcPr>
            <w:tcW w:w="3231" w:type="dxa"/>
            <w:noWrap w:val="0"/>
            <w:vAlign w:val="center"/>
          </w:tcPr>
          <w:p>
            <w:pPr>
              <w:jc w:val="center"/>
              <w:rPr>
                <w:rFonts w:cs="Times New Roman"/>
                <w:sz w:val="28"/>
                <w:szCs w:val="28"/>
              </w:rPr>
            </w:pPr>
            <w:r>
              <w:rPr>
                <w:rFonts w:hint="eastAsia" w:cs="Times New Roman"/>
                <w:sz w:val="28"/>
                <w:szCs w:val="28"/>
              </w:rPr>
              <w:t>报价单位名称</w:t>
            </w:r>
          </w:p>
        </w:tc>
        <w:tc>
          <w:tcPr>
            <w:tcW w:w="1635" w:type="dxa"/>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pPr>
              <w:jc w:val="center"/>
              <w:rPr>
                <w:rFonts w:cs="Times New Roman"/>
                <w:sz w:val="28"/>
                <w:szCs w:val="28"/>
              </w:rPr>
            </w:pPr>
            <w:r>
              <w:rPr>
                <w:rFonts w:hint="eastAsia" w:cs="Times New Roman"/>
                <w:sz w:val="28"/>
                <w:szCs w:val="28"/>
              </w:rPr>
              <w:t>1</w:t>
            </w:r>
          </w:p>
        </w:tc>
        <w:tc>
          <w:tcPr>
            <w:tcW w:w="3231" w:type="dxa"/>
            <w:noWrap w:val="0"/>
            <w:vAlign w:val="center"/>
          </w:tcPr>
          <w:p>
            <w:pPr>
              <w:jc w:val="center"/>
              <w:rPr>
                <w:rFonts w:cs="Times New Roman"/>
                <w:sz w:val="28"/>
                <w:szCs w:val="28"/>
              </w:rPr>
            </w:pPr>
          </w:p>
        </w:tc>
        <w:tc>
          <w:tcPr>
            <w:tcW w:w="1635" w:type="dxa"/>
            <w:noWrap w:val="0"/>
            <w:vAlign w:val="center"/>
          </w:tcPr>
          <w:p>
            <w:pPr>
              <w:jc w:val="center"/>
              <w:rPr>
                <w:rFonts w:hint="default" w:eastAsia="宋体" w:cs="Times New Roman"/>
                <w:sz w:val="28"/>
                <w:szCs w:val="28"/>
                <w:lang w:val="en-US" w:eastAsia="zh-CN"/>
              </w:rPr>
            </w:pPr>
          </w:p>
        </w:tc>
        <w:tc>
          <w:tcPr>
            <w:tcW w:w="4080" w:type="dxa"/>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pPr>
              <w:jc w:val="center"/>
              <w:rPr>
                <w:rFonts w:cs="Times New Roman"/>
                <w:sz w:val="28"/>
                <w:szCs w:val="28"/>
              </w:rPr>
            </w:pPr>
          </w:p>
        </w:tc>
        <w:tc>
          <w:tcPr>
            <w:tcW w:w="2019"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宁夏交通科学研究所有限公司2024年日常养护交通安全设施养护劳务服务采购项目（第</w:t>
      </w:r>
      <w:r>
        <w:rPr>
          <w:rFonts w:hint="eastAsia" w:ascii="Times New Roman" w:hAnsi="宋体" w:cs="宋体"/>
          <w:w w:val="90"/>
          <w:sz w:val="28"/>
          <w:szCs w:val="28"/>
          <w:u w:val="single"/>
          <w:lang w:val="en-US" w:eastAsia="zh-CN"/>
        </w:rPr>
        <w:t>二</w:t>
      </w:r>
      <w:r>
        <w:rPr>
          <w:rFonts w:hint="eastAsia" w:ascii="Times New Roman" w:hAnsi="宋体" w:cs="宋体"/>
          <w:w w:val="90"/>
          <w:sz w:val="28"/>
          <w:szCs w:val="28"/>
          <w:u w:val="single"/>
          <w:lang w:val="zh-CN" w:eastAsia="zh-CN"/>
        </w:rPr>
        <w:t>批）</w:t>
      </w:r>
    </w:p>
    <w:p>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pPr>
              <w:jc w:val="center"/>
              <w:rPr>
                <w:rFonts w:cs="Times New Roman"/>
                <w:sz w:val="28"/>
                <w:szCs w:val="28"/>
              </w:rPr>
            </w:pPr>
            <w:r>
              <w:rPr>
                <w:rFonts w:hint="eastAsia" w:cs="Times New Roman"/>
                <w:sz w:val="28"/>
                <w:szCs w:val="28"/>
              </w:rPr>
              <w:t>序号</w:t>
            </w:r>
          </w:p>
        </w:tc>
        <w:tc>
          <w:tcPr>
            <w:tcW w:w="1163" w:type="pct"/>
            <w:noWrap w:val="0"/>
            <w:vAlign w:val="center"/>
          </w:tcPr>
          <w:p>
            <w:pPr>
              <w:jc w:val="center"/>
              <w:rPr>
                <w:rFonts w:cs="Times New Roman"/>
                <w:sz w:val="28"/>
                <w:szCs w:val="28"/>
              </w:rPr>
            </w:pPr>
            <w:r>
              <w:rPr>
                <w:rFonts w:hint="eastAsia" w:cs="Times New Roman"/>
                <w:sz w:val="28"/>
                <w:szCs w:val="28"/>
              </w:rPr>
              <w:t>报价单位名称</w:t>
            </w:r>
          </w:p>
        </w:tc>
        <w:tc>
          <w:tcPr>
            <w:tcW w:w="588" w:type="pct"/>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pPr>
              <w:jc w:val="center"/>
              <w:rPr>
                <w:rFonts w:cs="Times New Roman"/>
                <w:sz w:val="28"/>
                <w:szCs w:val="28"/>
              </w:rPr>
            </w:pPr>
            <w:r>
              <w:rPr>
                <w:rFonts w:hint="eastAsia" w:cs="Times New Roman"/>
                <w:sz w:val="28"/>
                <w:szCs w:val="28"/>
              </w:rPr>
              <w:t>1</w:t>
            </w:r>
          </w:p>
        </w:tc>
        <w:tc>
          <w:tcPr>
            <w:tcW w:w="1163" w:type="pct"/>
            <w:noWrap w:val="0"/>
            <w:vAlign w:val="center"/>
          </w:tcPr>
          <w:p>
            <w:pPr>
              <w:jc w:val="center"/>
              <w:rPr>
                <w:rFonts w:cs="Times New Roman"/>
                <w:sz w:val="28"/>
                <w:szCs w:val="28"/>
              </w:rPr>
            </w:pPr>
          </w:p>
        </w:tc>
        <w:tc>
          <w:tcPr>
            <w:tcW w:w="588" w:type="pct"/>
            <w:noWrap w:val="0"/>
            <w:vAlign w:val="center"/>
          </w:tcPr>
          <w:p>
            <w:pPr>
              <w:jc w:val="center"/>
              <w:rPr>
                <w:rFonts w:hint="default" w:eastAsia="宋体" w:cs="Times New Roman"/>
                <w:sz w:val="28"/>
                <w:szCs w:val="28"/>
                <w:lang w:val="en-US" w:eastAsia="zh-CN"/>
              </w:rPr>
            </w:pPr>
          </w:p>
        </w:tc>
        <w:tc>
          <w:tcPr>
            <w:tcW w:w="1468" w:type="pct"/>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pPr>
              <w:jc w:val="center"/>
              <w:rPr>
                <w:rFonts w:cs="Times New Roman"/>
                <w:sz w:val="28"/>
                <w:szCs w:val="28"/>
              </w:rPr>
            </w:pPr>
          </w:p>
        </w:tc>
        <w:tc>
          <w:tcPr>
            <w:tcW w:w="726"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1003</Words>
  <Characters>1042</Characters>
  <Lines>7</Lines>
  <Paragraphs>1</Paragraphs>
  <TotalTime>8</TotalTime>
  <ScaleCrop>false</ScaleCrop>
  <LinksUpToDate>false</LinksUpToDate>
  <CharactersWithSpaces>1179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2024-05-24T03:27:24Z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