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路基防排水劳务供应商备选库</w:t>
      </w:r>
      <w:r>
        <w:rPr>
          <w:rFonts w:hint="eastAsia" w:hAnsi="宋体"/>
          <w:b w:val="0"/>
          <w:bCs/>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经我公司研究，为确保做好高速公路交通安全设施养护维修工作，我公司邀请贵单位于</w:t>
      </w:r>
      <w:r>
        <w:rPr>
          <w:rFonts w:hint="eastAsia" w:hAnsi="宋体"/>
          <w:b w:val="0"/>
          <w:bCs/>
          <w:color w:val="FF0000"/>
          <w:sz w:val="32"/>
          <w:szCs w:val="32"/>
          <w:u w:val="single"/>
          <w:lang w:val="en-US" w:eastAsia="zh-CN"/>
        </w:rPr>
        <w:t>2024年6月6日10点00分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宁夏交通科学研究所有限公司2024年日常养护路基边坡维修劳务服务采购项目（第二批）</w:t>
      </w:r>
      <w:r>
        <w:rPr>
          <w:rFonts w:hint="eastAsia" w:hAnsi="宋体"/>
          <w:b w:val="0"/>
          <w:bCs/>
          <w:sz w:val="32"/>
          <w:szCs w:val="32"/>
          <w:lang w:val="en-US" w:eastAsia="zh-CN"/>
        </w:rPr>
        <w:t>竞价活动。</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宁夏交通科学研究所有限公司2024年日常养护路基边坡维修劳务服务采购项目（第二批）</w:t>
      </w:r>
      <w:r>
        <w:rPr>
          <w:rFonts w:hint="eastAsia" w:hAnsi="宋体"/>
          <w:b w:val="0"/>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（三）本次总限价为：791340.00 元。</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，未参会或未回复的供应商视为自愿放弃本次报价资格，将按照公司相关办法进行处罚；参加本次竞价的供应商必须携带劳务资质及安全生产许可证复印件；授权委托人带授权委托书。</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2024年6月5日</w:t>
      </w:r>
    </w:p>
    <w:p>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宁夏交通科学研究所有限公司2024年日常养护路基边坡维修劳务服务采购项目（第二批）</w:t>
      </w:r>
    </w:p>
    <w:p>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pPr>
              <w:jc w:val="center"/>
              <w:rPr>
                <w:rFonts w:cs="Times New Roman"/>
                <w:sz w:val="28"/>
                <w:szCs w:val="28"/>
              </w:rPr>
            </w:pPr>
            <w:r>
              <w:rPr>
                <w:rFonts w:hint="eastAsia" w:cs="Times New Roman"/>
                <w:sz w:val="28"/>
                <w:szCs w:val="28"/>
              </w:rPr>
              <w:t>序号</w:t>
            </w:r>
          </w:p>
        </w:tc>
        <w:tc>
          <w:tcPr>
            <w:tcW w:w="3231" w:type="dxa"/>
            <w:noWrap w:val="0"/>
            <w:vAlign w:val="center"/>
          </w:tcPr>
          <w:p>
            <w:pPr>
              <w:jc w:val="center"/>
              <w:rPr>
                <w:rFonts w:cs="Times New Roman"/>
                <w:sz w:val="28"/>
                <w:szCs w:val="28"/>
              </w:rPr>
            </w:pPr>
            <w:r>
              <w:rPr>
                <w:rFonts w:hint="eastAsia" w:cs="Times New Roman"/>
                <w:sz w:val="28"/>
                <w:szCs w:val="28"/>
              </w:rPr>
              <w:t>报价单位名称</w:t>
            </w:r>
          </w:p>
        </w:tc>
        <w:tc>
          <w:tcPr>
            <w:tcW w:w="1635" w:type="dxa"/>
            <w:noWrap w:val="0"/>
            <w:vAlign w:val="center"/>
          </w:tcPr>
          <w:p>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pPr>
              <w:jc w:val="center"/>
              <w:rPr>
                <w:rFonts w:hint="eastAsia" w:eastAsia="宋体" w:cs="Times New Roman"/>
                <w:sz w:val="28"/>
                <w:szCs w:val="28"/>
                <w:lang w:eastAsia="zh-CN"/>
              </w:rPr>
            </w:pPr>
            <w:r>
              <w:rPr>
                <w:rFonts w:hint="eastAsia" w:cs="Times New Roman"/>
                <w:sz w:val="28"/>
                <w:szCs w:val="28"/>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61" w:hRule="atLeast"/>
          <w:jc w:val="center"/>
        </w:trPr>
        <w:tc>
          <w:tcPr>
            <w:tcW w:w="821" w:type="dxa"/>
            <w:noWrap w:val="0"/>
            <w:vAlign w:val="center"/>
          </w:tcPr>
          <w:p>
            <w:pPr>
              <w:jc w:val="center"/>
              <w:rPr>
                <w:rFonts w:cs="Times New Roman"/>
                <w:sz w:val="28"/>
                <w:szCs w:val="28"/>
              </w:rPr>
            </w:pPr>
            <w:r>
              <w:rPr>
                <w:rFonts w:hint="eastAsia" w:cs="Times New Roman"/>
                <w:sz w:val="28"/>
                <w:szCs w:val="28"/>
              </w:rPr>
              <w:t>1</w:t>
            </w:r>
          </w:p>
        </w:tc>
        <w:tc>
          <w:tcPr>
            <w:tcW w:w="3231" w:type="dxa"/>
            <w:noWrap w:val="0"/>
            <w:vAlign w:val="center"/>
          </w:tcPr>
          <w:p>
            <w:pPr>
              <w:jc w:val="center"/>
              <w:rPr>
                <w:rFonts w:cs="Times New Roman"/>
                <w:sz w:val="28"/>
                <w:szCs w:val="28"/>
              </w:rPr>
            </w:pPr>
          </w:p>
        </w:tc>
        <w:tc>
          <w:tcPr>
            <w:tcW w:w="1635" w:type="dxa"/>
            <w:noWrap w:val="0"/>
            <w:vAlign w:val="center"/>
          </w:tcPr>
          <w:p>
            <w:pPr>
              <w:jc w:val="center"/>
              <w:rPr>
                <w:rFonts w:hint="default" w:eastAsia="宋体" w:cs="Times New Roman"/>
                <w:sz w:val="28"/>
                <w:szCs w:val="28"/>
                <w:lang w:val="en-US" w:eastAsia="zh-CN"/>
              </w:rPr>
            </w:pPr>
          </w:p>
        </w:tc>
        <w:tc>
          <w:tcPr>
            <w:tcW w:w="4080" w:type="dxa"/>
            <w:noWrap w:val="0"/>
            <w:vAlign w:val="center"/>
          </w:tcPr>
          <w:p>
            <w:pPr>
              <w:jc w:val="both"/>
              <w:rPr>
                <w:rFonts w:hint="eastAsia" w:cs="Times New Roman"/>
                <w:sz w:val="28"/>
                <w:szCs w:val="28"/>
                <w:lang w:val="en-US" w:eastAsia="zh-CN"/>
              </w:rPr>
            </w:pPr>
            <w:r>
              <w:rPr>
                <w:rFonts w:hint="eastAsia" w:cs="Times New Roman"/>
                <w:sz w:val="28"/>
                <w:szCs w:val="28"/>
                <w:lang w:val="en-US" w:eastAsia="zh-CN"/>
              </w:rPr>
              <w:t>大写：</w:t>
            </w:r>
          </w:p>
          <w:p>
            <w:pPr>
              <w:pStyle w:val="2"/>
              <w:rPr>
                <w:rFonts w:hint="default"/>
                <w:lang w:val="en-US" w:eastAsia="zh-CN"/>
              </w:rPr>
            </w:pPr>
            <w:r>
              <w:rPr>
                <w:rFonts w:hint="eastAsia" w:cs="Times New Roman"/>
                <w:sz w:val="28"/>
                <w:szCs w:val="28"/>
                <w:lang w:val="en-US" w:eastAsia="zh-CN"/>
              </w:rPr>
              <w:t>小写：</w:t>
            </w:r>
          </w:p>
        </w:tc>
        <w:tc>
          <w:tcPr>
            <w:tcW w:w="2105" w:type="dxa"/>
            <w:noWrap w:val="0"/>
            <w:vAlign w:val="center"/>
          </w:tcPr>
          <w:p>
            <w:pPr>
              <w:jc w:val="center"/>
              <w:rPr>
                <w:rFonts w:cs="Times New Roman"/>
                <w:sz w:val="28"/>
                <w:szCs w:val="28"/>
              </w:rPr>
            </w:pPr>
          </w:p>
        </w:tc>
        <w:tc>
          <w:tcPr>
            <w:tcW w:w="2019" w:type="dxa"/>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宁夏交通科学研究所有限公司2024年日常养护路基边坡维修劳务服务采购项目（第二</w:t>
      </w:r>
      <w:bookmarkStart w:id="0" w:name="_GoBack"/>
      <w:bookmarkEnd w:id="0"/>
      <w:r>
        <w:rPr>
          <w:rFonts w:hint="eastAsia" w:hAnsi="宋体"/>
          <w:b w:val="0"/>
          <w:bCs/>
          <w:sz w:val="32"/>
          <w:szCs w:val="32"/>
          <w:u w:val="single"/>
          <w:lang w:val="en-US" w:eastAsia="zh-CN"/>
        </w:rPr>
        <w:t>批）</w:t>
      </w:r>
    </w:p>
    <w:p>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pPr>
              <w:jc w:val="center"/>
              <w:rPr>
                <w:rFonts w:cs="Times New Roman"/>
                <w:sz w:val="28"/>
                <w:szCs w:val="28"/>
              </w:rPr>
            </w:pPr>
            <w:r>
              <w:rPr>
                <w:rFonts w:hint="eastAsia" w:cs="Times New Roman"/>
                <w:sz w:val="28"/>
                <w:szCs w:val="28"/>
              </w:rPr>
              <w:t>序号</w:t>
            </w:r>
          </w:p>
        </w:tc>
        <w:tc>
          <w:tcPr>
            <w:tcW w:w="1163" w:type="pct"/>
            <w:noWrap w:val="0"/>
            <w:vAlign w:val="center"/>
          </w:tcPr>
          <w:p>
            <w:pPr>
              <w:jc w:val="center"/>
              <w:rPr>
                <w:rFonts w:cs="Times New Roman"/>
                <w:sz w:val="28"/>
                <w:szCs w:val="28"/>
              </w:rPr>
            </w:pPr>
            <w:r>
              <w:rPr>
                <w:rFonts w:hint="eastAsia" w:cs="Times New Roman"/>
                <w:sz w:val="28"/>
                <w:szCs w:val="28"/>
              </w:rPr>
              <w:t>报价单位名称</w:t>
            </w:r>
          </w:p>
        </w:tc>
        <w:tc>
          <w:tcPr>
            <w:tcW w:w="588" w:type="pct"/>
            <w:noWrap w:val="0"/>
            <w:vAlign w:val="center"/>
          </w:tcPr>
          <w:p>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pPr>
              <w:jc w:val="center"/>
              <w:rPr>
                <w:rFonts w:hint="eastAsia" w:eastAsia="宋体" w:cs="Times New Roman"/>
                <w:sz w:val="28"/>
                <w:szCs w:val="28"/>
                <w:lang w:eastAsia="zh-CN"/>
              </w:rPr>
            </w:pPr>
            <w:r>
              <w:rPr>
                <w:rFonts w:hint="eastAsia" w:cs="Times New Roman"/>
                <w:sz w:val="28"/>
                <w:szCs w:val="28"/>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01" w:hRule="atLeast"/>
          <w:jc w:val="center"/>
        </w:trPr>
        <w:tc>
          <w:tcPr>
            <w:tcW w:w="295" w:type="pct"/>
            <w:noWrap w:val="0"/>
            <w:vAlign w:val="center"/>
          </w:tcPr>
          <w:p>
            <w:pPr>
              <w:jc w:val="center"/>
              <w:rPr>
                <w:rFonts w:cs="Times New Roman"/>
                <w:sz w:val="28"/>
                <w:szCs w:val="28"/>
              </w:rPr>
            </w:pPr>
            <w:r>
              <w:rPr>
                <w:rFonts w:hint="eastAsia" w:cs="Times New Roman"/>
                <w:sz w:val="28"/>
                <w:szCs w:val="28"/>
              </w:rPr>
              <w:t>1</w:t>
            </w:r>
          </w:p>
        </w:tc>
        <w:tc>
          <w:tcPr>
            <w:tcW w:w="1163" w:type="pct"/>
            <w:noWrap w:val="0"/>
            <w:vAlign w:val="center"/>
          </w:tcPr>
          <w:p>
            <w:pPr>
              <w:jc w:val="center"/>
              <w:rPr>
                <w:rFonts w:cs="Times New Roman"/>
                <w:sz w:val="28"/>
                <w:szCs w:val="28"/>
              </w:rPr>
            </w:pPr>
          </w:p>
        </w:tc>
        <w:tc>
          <w:tcPr>
            <w:tcW w:w="588" w:type="pct"/>
            <w:noWrap w:val="0"/>
            <w:vAlign w:val="center"/>
          </w:tcPr>
          <w:p>
            <w:pPr>
              <w:jc w:val="center"/>
              <w:rPr>
                <w:rFonts w:hint="default" w:eastAsia="宋体" w:cs="Times New Roman"/>
                <w:sz w:val="28"/>
                <w:szCs w:val="28"/>
                <w:lang w:val="en-US" w:eastAsia="zh-CN"/>
              </w:rPr>
            </w:pPr>
          </w:p>
        </w:tc>
        <w:tc>
          <w:tcPr>
            <w:tcW w:w="1468" w:type="pct"/>
            <w:noWrap w:val="0"/>
            <w:vAlign w:val="center"/>
          </w:tcPr>
          <w:p>
            <w:pPr>
              <w:jc w:val="both"/>
              <w:rPr>
                <w:rFonts w:hint="eastAsia" w:cs="Times New Roman"/>
                <w:sz w:val="28"/>
                <w:szCs w:val="28"/>
                <w:lang w:val="en-US" w:eastAsia="zh-CN"/>
              </w:rPr>
            </w:pPr>
            <w:r>
              <w:rPr>
                <w:rFonts w:hint="eastAsia" w:cs="Times New Roman"/>
                <w:sz w:val="28"/>
                <w:szCs w:val="28"/>
                <w:lang w:val="en-US" w:eastAsia="zh-CN"/>
              </w:rPr>
              <w:t>大写：</w:t>
            </w:r>
          </w:p>
          <w:p>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pPr>
              <w:jc w:val="center"/>
              <w:rPr>
                <w:rFonts w:cs="Times New Roman"/>
                <w:sz w:val="28"/>
                <w:szCs w:val="28"/>
              </w:rPr>
            </w:pPr>
          </w:p>
        </w:tc>
        <w:tc>
          <w:tcPr>
            <w:tcW w:w="726" w:type="pct"/>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6169D7"/>
    <w:rsid w:val="06AA2814"/>
    <w:rsid w:val="070A357C"/>
    <w:rsid w:val="090D0A22"/>
    <w:rsid w:val="0A465B8E"/>
    <w:rsid w:val="0A8B0F61"/>
    <w:rsid w:val="0B5346A2"/>
    <w:rsid w:val="0BF57579"/>
    <w:rsid w:val="0DBA6624"/>
    <w:rsid w:val="0E426D2F"/>
    <w:rsid w:val="0E82435A"/>
    <w:rsid w:val="0F2F7CC1"/>
    <w:rsid w:val="0FEB2435"/>
    <w:rsid w:val="11253237"/>
    <w:rsid w:val="12472434"/>
    <w:rsid w:val="12672BED"/>
    <w:rsid w:val="12750A64"/>
    <w:rsid w:val="12BB03C6"/>
    <w:rsid w:val="13211843"/>
    <w:rsid w:val="16637409"/>
    <w:rsid w:val="176E20C3"/>
    <w:rsid w:val="17770999"/>
    <w:rsid w:val="185D7A2D"/>
    <w:rsid w:val="1A4743E4"/>
    <w:rsid w:val="1B970022"/>
    <w:rsid w:val="1BDA04DB"/>
    <w:rsid w:val="1C0B5533"/>
    <w:rsid w:val="1D344C11"/>
    <w:rsid w:val="1D365BE3"/>
    <w:rsid w:val="1DEA2AB4"/>
    <w:rsid w:val="1EBF4E26"/>
    <w:rsid w:val="20993E5F"/>
    <w:rsid w:val="21C747EF"/>
    <w:rsid w:val="21CE5D30"/>
    <w:rsid w:val="22223FA5"/>
    <w:rsid w:val="226E2784"/>
    <w:rsid w:val="22DA7AA0"/>
    <w:rsid w:val="242F6B10"/>
    <w:rsid w:val="24F10B3C"/>
    <w:rsid w:val="250C32D4"/>
    <w:rsid w:val="25150CE0"/>
    <w:rsid w:val="25395E6A"/>
    <w:rsid w:val="25506803"/>
    <w:rsid w:val="25B768BB"/>
    <w:rsid w:val="276462CA"/>
    <w:rsid w:val="2874236C"/>
    <w:rsid w:val="2A1F3308"/>
    <w:rsid w:val="2AC80F99"/>
    <w:rsid w:val="2C1E7369"/>
    <w:rsid w:val="2E8A57EA"/>
    <w:rsid w:val="2F4C670F"/>
    <w:rsid w:val="30217958"/>
    <w:rsid w:val="30C14BDE"/>
    <w:rsid w:val="32272DCA"/>
    <w:rsid w:val="32326807"/>
    <w:rsid w:val="324C5B30"/>
    <w:rsid w:val="33D812E6"/>
    <w:rsid w:val="34B72CA3"/>
    <w:rsid w:val="36E47B9D"/>
    <w:rsid w:val="36E63330"/>
    <w:rsid w:val="37C03A20"/>
    <w:rsid w:val="37CA67C0"/>
    <w:rsid w:val="382D5F12"/>
    <w:rsid w:val="397B655D"/>
    <w:rsid w:val="39C42C58"/>
    <w:rsid w:val="39EF7ACC"/>
    <w:rsid w:val="3A7F7554"/>
    <w:rsid w:val="3C1C7DAA"/>
    <w:rsid w:val="3C952FF5"/>
    <w:rsid w:val="3D457445"/>
    <w:rsid w:val="40EC76EA"/>
    <w:rsid w:val="42C9612C"/>
    <w:rsid w:val="42DC790B"/>
    <w:rsid w:val="447B522A"/>
    <w:rsid w:val="462A5B0A"/>
    <w:rsid w:val="462B59EC"/>
    <w:rsid w:val="46764128"/>
    <w:rsid w:val="46D44874"/>
    <w:rsid w:val="472738A0"/>
    <w:rsid w:val="49474073"/>
    <w:rsid w:val="4A186D85"/>
    <w:rsid w:val="4A7215BD"/>
    <w:rsid w:val="4AD97C79"/>
    <w:rsid w:val="4B1E03CD"/>
    <w:rsid w:val="4CAE0C3D"/>
    <w:rsid w:val="4D19347A"/>
    <w:rsid w:val="4D856DE1"/>
    <w:rsid w:val="4F1E22C3"/>
    <w:rsid w:val="50641063"/>
    <w:rsid w:val="537F622C"/>
    <w:rsid w:val="573A1EDC"/>
    <w:rsid w:val="57EF7117"/>
    <w:rsid w:val="59392552"/>
    <w:rsid w:val="5990372C"/>
    <w:rsid w:val="59C80556"/>
    <w:rsid w:val="5A60656A"/>
    <w:rsid w:val="5D6C5006"/>
    <w:rsid w:val="5DB84F1E"/>
    <w:rsid w:val="610B6B74"/>
    <w:rsid w:val="61734C99"/>
    <w:rsid w:val="62C714BC"/>
    <w:rsid w:val="64087BA8"/>
    <w:rsid w:val="65BA6D8B"/>
    <w:rsid w:val="667678A1"/>
    <w:rsid w:val="6699393C"/>
    <w:rsid w:val="681E00FA"/>
    <w:rsid w:val="69F83857"/>
    <w:rsid w:val="6A352CCF"/>
    <w:rsid w:val="6BA85E14"/>
    <w:rsid w:val="6E230BA7"/>
    <w:rsid w:val="6E502713"/>
    <w:rsid w:val="6F6C489B"/>
    <w:rsid w:val="712D72BF"/>
    <w:rsid w:val="716C2A69"/>
    <w:rsid w:val="732A3FF1"/>
    <w:rsid w:val="75CE061A"/>
    <w:rsid w:val="77B84A6D"/>
    <w:rsid w:val="77B95F79"/>
    <w:rsid w:val="783130A8"/>
    <w:rsid w:val="78541609"/>
    <w:rsid w:val="78741E1D"/>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2"/>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qFormat/>
    <w:uiPriority w:val="0"/>
    <w:rPr>
      <w:rFonts w:cs="Times New Roman"/>
      <w:color w:val="0000FF"/>
      <w:u w:val="single"/>
    </w:rPr>
  </w:style>
  <w:style w:type="character" w:styleId="11">
    <w:name w:val="footnote reference"/>
    <w:basedOn w:val="9"/>
    <w:semiHidden/>
    <w:qFormat/>
    <w:uiPriority w:val="0"/>
    <w:rPr>
      <w:rFonts w:cs="Times New Roman"/>
      <w:vertAlign w:val="superscript"/>
    </w:rPr>
  </w:style>
  <w:style w:type="character" w:customStyle="1" w:styleId="12">
    <w:name w:val="标题 1 Char"/>
    <w:basedOn w:val="9"/>
    <w:link w:val="3"/>
    <w:qFormat/>
    <w:locked/>
    <w:uiPriority w:val="0"/>
    <w:rPr>
      <w:rFonts w:eastAsia="宋体"/>
      <w:b/>
      <w:bCs/>
      <w:kern w:val="44"/>
      <w:sz w:val="44"/>
      <w:szCs w:val="44"/>
      <w:lang w:val="en-US" w:eastAsia="zh-CN" w:bidi="ar-SA"/>
    </w:rPr>
  </w:style>
  <w:style w:type="character" w:customStyle="1" w:styleId="13">
    <w:name w:val="font01"/>
    <w:basedOn w:val="9"/>
    <w:qFormat/>
    <w:uiPriority w:val="0"/>
    <w:rPr>
      <w:rFonts w:ascii="Calibri" w:hAnsi="Calibri" w:cs="Calibri"/>
      <w:color w:val="000000"/>
      <w:sz w:val="24"/>
      <w:szCs w:val="24"/>
      <w:u w:val="none"/>
    </w:rPr>
  </w:style>
  <w:style w:type="character" w:customStyle="1" w:styleId="14">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992</Words>
  <Characters>1032</Characters>
  <Lines>7</Lines>
  <Paragraphs>1</Paragraphs>
  <TotalTime>1</TotalTime>
  <ScaleCrop>false</ScaleCrop>
  <LinksUpToDate>false</LinksUpToDate>
  <CharactersWithSpaces>1171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2023-04-11T04:42:00Z</cp:lastPrinted>
  <dcterms:modified xsi:type="dcterms:W3CDTF">2024-06-05T00:48:48Z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ies>
</file>