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路基防排水劳务供应商备选库</w:t>
      </w:r>
      <w:r>
        <w:rPr>
          <w:rFonts w:hint="eastAsia" w:hAnsi="宋体"/>
          <w:b w:val="0"/>
          <w:bCs/>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2024年6月21日8点30分</w:t>
      </w:r>
      <w:r>
        <w:rPr>
          <w:rFonts w:hint="eastAsia" w:hAnsi="宋体"/>
          <w:b w:val="0"/>
          <w:bCs/>
          <w:sz w:val="32"/>
          <w:szCs w:val="32"/>
          <w:lang w:val="en-US" w:eastAsia="zh-CN"/>
        </w:rPr>
        <w:t>参加宁夏交通科学研究所有限公司河东机场至银川市区高速公路安全照明设施（一期）建设工程基础、电缆沟开挖劳务服务竞价活动。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宁夏交通科学研究所有限公司河东机场至银川市区高速公路安全照明设施（一期）建设工程基础、电缆沟开挖劳务服务</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（三）本次总限价为：591266元。</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2024年6月20</w:t>
      </w:r>
      <w:bookmarkStart w:id="0" w:name="_GoBack"/>
      <w:bookmarkEnd w:id="0"/>
      <w:r>
        <w:rPr>
          <w:rFonts w:hint="eastAsia" w:hAnsi="宋体"/>
          <w:b w:val="0"/>
          <w:bCs/>
          <w:color w:val="auto"/>
          <w:sz w:val="32"/>
          <w:szCs w:val="32"/>
          <w:lang w:val="en-US" w:eastAsia="zh-CN"/>
        </w:rPr>
        <w:t>日</w:t>
      </w: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项目名称：宁夏交通科学研究所有限公司河东机场至银川市区高速公路安全照明设施（一期）建设工程基础、电缆沟开挖劳务服务</w:t>
      </w:r>
    </w:p>
    <w:p>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pPr>
              <w:jc w:val="center"/>
              <w:rPr>
                <w:rFonts w:cs="Times New Roman"/>
                <w:sz w:val="28"/>
                <w:szCs w:val="28"/>
              </w:rPr>
            </w:pPr>
            <w:r>
              <w:rPr>
                <w:rFonts w:hint="eastAsia" w:cs="Times New Roman"/>
                <w:sz w:val="28"/>
                <w:szCs w:val="28"/>
              </w:rPr>
              <w:t>序号</w:t>
            </w:r>
          </w:p>
        </w:tc>
        <w:tc>
          <w:tcPr>
            <w:tcW w:w="3231" w:type="dxa"/>
            <w:noWrap w:val="0"/>
            <w:vAlign w:val="center"/>
          </w:tcPr>
          <w:p>
            <w:pPr>
              <w:jc w:val="center"/>
              <w:rPr>
                <w:rFonts w:cs="Times New Roman"/>
                <w:sz w:val="28"/>
                <w:szCs w:val="28"/>
              </w:rPr>
            </w:pPr>
            <w:r>
              <w:rPr>
                <w:rFonts w:hint="eastAsia" w:cs="Times New Roman"/>
                <w:sz w:val="28"/>
                <w:szCs w:val="28"/>
              </w:rPr>
              <w:t>报价单位名称</w:t>
            </w:r>
          </w:p>
        </w:tc>
        <w:tc>
          <w:tcPr>
            <w:tcW w:w="1635" w:type="dxa"/>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pPr>
              <w:jc w:val="center"/>
              <w:rPr>
                <w:rFonts w:cs="Times New Roman"/>
                <w:sz w:val="28"/>
                <w:szCs w:val="28"/>
              </w:rPr>
            </w:pPr>
            <w:r>
              <w:rPr>
                <w:rFonts w:hint="eastAsia" w:cs="Times New Roman"/>
                <w:sz w:val="28"/>
                <w:szCs w:val="28"/>
              </w:rPr>
              <w:t>1</w:t>
            </w:r>
          </w:p>
        </w:tc>
        <w:tc>
          <w:tcPr>
            <w:tcW w:w="3231" w:type="dxa"/>
            <w:noWrap w:val="0"/>
            <w:vAlign w:val="center"/>
          </w:tcPr>
          <w:p>
            <w:pPr>
              <w:jc w:val="center"/>
              <w:rPr>
                <w:rFonts w:cs="Times New Roman"/>
                <w:sz w:val="28"/>
                <w:szCs w:val="28"/>
              </w:rPr>
            </w:pPr>
          </w:p>
        </w:tc>
        <w:tc>
          <w:tcPr>
            <w:tcW w:w="1635" w:type="dxa"/>
            <w:noWrap w:val="0"/>
            <w:vAlign w:val="center"/>
          </w:tcPr>
          <w:p>
            <w:pPr>
              <w:jc w:val="center"/>
              <w:rPr>
                <w:rFonts w:hint="default" w:eastAsia="宋体" w:cs="Times New Roman"/>
                <w:sz w:val="28"/>
                <w:szCs w:val="28"/>
                <w:lang w:val="en-US" w:eastAsia="zh-CN"/>
              </w:rPr>
            </w:pPr>
          </w:p>
        </w:tc>
        <w:tc>
          <w:tcPr>
            <w:tcW w:w="4080" w:type="dxa"/>
            <w:noWrap w:val="0"/>
            <w:vAlign w:val="center"/>
          </w:tcPr>
          <w:p>
            <w:pPr>
              <w:jc w:val="both"/>
              <w:rPr>
                <w:rFonts w:hint="eastAsia" w:cs="Times New Roman"/>
                <w:sz w:val="28"/>
                <w:szCs w:val="28"/>
                <w:lang w:val="en-US" w:eastAsia="zh-CN"/>
              </w:rPr>
            </w:pPr>
            <w:r>
              <w:rPr>
                <w:rFonts w:hint="eastAsia" w:cs="Times New Roman"/>
                <w:sz w:val="28"/>
                <w:szCs w:val="28"/>
                <w:lang w:val="en-US" w:eastAsia="zh-CN"/>
              </w:rPr>
              <w:t>大写：</w:t>
            </w:r>
          </w:p>
          <w:p>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pPr>
              <w:jc w:val="center"/>
              <w:rPr>
                <w:rFonts w:cs="Times New Roman"/>
                <w:sz w:val="28"/>
                <w:szCs w:val="28"/>
              </w:rPr>
            </w:pPr>
          </w:p>
        </w:tc>
        <w:tc>
          <w:tcPr>
            <w:tcW w:w="2019"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项目名称：宁夏交通科学研究所有限公司河东机场至银川市区高速公路安全照明设施（一期）建设工程基础、电缆沟开挖劳务服务</w:t>
      </w:r>
    </w:p>
    <w:p>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pPr>
              <w:jc w:val="center"/>
              <w:rPr>
                <w:rFonts w:cs="Times New Roman"/>
                <w:sz w:val="28"/>
                <w:szCs w:val="28"/>
              </w:rPr>
            </w:pPr>
            <w:r>
              <w:rPr>
                <w:rFonts w:hint="eastAsia" w:cs="Times New Roman"/>
                <w:sz w:val="28"/>
                <w:szCs w:val="28"/>
              </w:rPr>
              <w:t>序号</w:t>
            </w:r>
          </w:p>
        </w:tc>
        <w:tc>
          <w:tcPr>
            <w:tcW w:w="1163" w:type="pct"/>
            <w:noWrap w:val="0"/>
            <w:vAlign w:val="center"/>
          </w:tcPr>
          <w:p>
            <w:pPr>
              <w:jc w:val="center"/>
              <w:rPr>
                <w:rFonts w:cs="Times New Roman"/>
                <w:sz w:val="28"/>
                <w:szCs w:val="28"/>
              </w:rPr>
            </w:pPr>
            <w:r>
              <w:rPr>
                <w:rFonts w:hint="eastAsia" w:cs="Times New Roman"/>
                <w:sz w:val="28"/>
                <w:szCs w:val="28"/>
              </w:rPr>
              <w:t>报价单位名称</w:t>
            </w:r>
          </w:p>
        </w:tc>
        <w:tc>
          <w:tcPr>
            <w:tcW w:w="588" w:type="pct"/>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pPr>
              <w:jc w:val="center"/>
              <w:rPr>
                <w:rFonts w:cs="Times New Roman"/>
                <w:sz w:val="28"/>
                <w:szCs w:val="28"/>
              </w:rPr>
            </w:pPr>
            <w:r>
              <w:rPr>
                <w:rFonts w:hint="eastAsia" w:cs="Times New Roman"/>
                <w:sz w:val="28"/>
                <w:szCs w:val="28"/>
              </w:rPr>
              <w:t>1</w:t>
            </w:r>
          </w:p>
        </w:tc>
        <w:tc>
          <w:tcPr>
            <w:tcW w:w="1163" w:type="pct"/>
            <w:noWrap w:val="0"/>
            <w:vAlign w:val="center"/>
          </w:tcPr>
          <w:p>
            <w:pPr>
              <w:jc w:val="center"/>
              <w:rPr>
                <w:rFonts w:cs="Times New Roman"/>
                <w:sz w:val="28"/>
                <w:szCs w:val="28"/>
              </w:rPr>
            </w:pPr>
          </w:p>
        </w:tc>
        <w:tc>
          <w:tcPr>
            <w:tcW w:w="588" w:type="pct"/>
            <w:noWrap w:val="0"/>
            <w:vAlign w:val="center"/>
          </w:tcPr>
          <w:p>
            <w:pPr>
              <w:jc w:val="center"/>
              <w:rPr>
                <w:rFonts w:hint="default" w:eastAsia="宋体" w:cs="Times New Roman"/>
                <w:sz w:val="28"/>
                <w:szCs w:val="28"/>
                <w:lang w:val="en-US" w:eastAsia="zh-CN"/>
              </w:rPr>
            </w:pPr>
          </w:p>
        </w:tc>
        <w:tc>
          <w:tcPr>
            <w:tcW w:w="1468" w:type="pct"/>
            <w:noWrap w:val="0"/>
            <w:vAlign w:val="center"/>
          </w:tcPr>
          <w:p>
            <w:pPr>
              <w:jc w:val="both"/>
              <w:rPr>
                <w:rFonts w:hint="eastAsia" w:cs="Times New Roman"/>
                <w:sz w:val="28"/>
                <w:szCs w:val="28"/>
                <w:lang w:val="en-US" w:eastAsia="zh-CN"/>
              </w:rPr>
            </w:pPr>
            <w:r>
              <w:rPr>
                <w:rFonts w:hint="eastAsia" w:cs="Times New Roman"/>
                <w:sz w:val="28"/>
                <w:szCs w:val="28"/>
                <w:lang w:val="en-US" w:eastAsia="zh-CN"/>
              </w:rPr>
              <w:t>大写：</w:t>
            </w:r>
          </w:p>
          <w:p>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pPr>
              <w:jc w:val="center"/>
              <w:rPr>
                <w:rFonts w:cs="Times New Roman"/>
                <w:sz w:val="28"/>
                <w:szCs w:val="28"/>
              </w:rPr>
            </w:pPr>
          </w:p>
        </w:tc>
        <w:tc>
          <w:tcPr>
            <w:tcW w:w="726"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B970022"/>
    <w:rsid w:val="1BDA04DB"/>
    <w:rsid w:val="1C0B5533"/>
    <w:rsid w:val="1D344C11"/>
    <w:rsid w:val="1D365BE3"/>
    <w:rsid w:val="1DEA2AB4"/>
    <w:rsid w:val="1EBF4E26"/>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315F4F"/>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992</Words>
  <Characters>1033</Characters>
  <Lines>7</Lines>
  <Paragraphs>1</Paragraphs>
  <TotalTime>1</TotalTime>
  <ScaleCrop>false</ScaleCrop>
  <LinksUpToDate>false</LinksUpToDate>
  <CharactersWithSpaces>1171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2023-04-11T04:42:00Z</cp:lastPrinted>
  <dcterms:modified xsi:type="dcterms:W3CDTF">2024-06-20T02:51:12Z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